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997D" w14:textId="3B7AEAFD" w:rsidR="00724FFD" w:rsidRPr="009C450D" w:rsidRDefault="00C557B2">
      <w:pPr>
        <w:pStyle w:val="BodyText"/>
        <w:tabs>
          <w:tab w:val="left" w:pos="8482"/>
        </w:tabs>
        <w:spacing w:before="77"/>
        <w:ind w:left="120"/>
        <w:rPr>
          <w:sz w:val="18"/>
          <w:szCs w:val="18"/>
          <w:lang w:val="es-AR"/>
        </w:rPr>
      </w:pPr>
      <w:bookmarkStart w:id="0" w:name="_GoBack"/>
      <w:bookmarkEnd w:id="0"/>
      <w:r w:rsidRPr="009C450D">
        <w:rPr>
          <w:sz w:val="18"/>
          <w:szCs w:val="18"/>
          <w:lang w:val="pt"/>
        </w:rPr>
        <w:t>NEPN/NSBA: ADA</w:t>
      </w:r>
      <w:r w:rsidRPr="009C450D">
        <w:rPr>
          <w:sz w:val="18"/>
          <w:szCs w:val="18"/>
          <w:lang w:val="pt"/>
        </w:rPr>
        <w:tab/>
      </w:r>
      <w:r w:rsidR="009C450D" w:rsidRPr="009C450D">
        <w:rPr>
          <w:sz w:val="18"/>
          <w:szCs w:val="18"/>
          <w:lang w:val="pt"/>
        </w:rPr>
        <w:t>Página 1 de 1</w:t>
      </w:r>
    </w:p>
    <w:p w14:paraId="0AA10829" w14:textId="77777777" w:rsidR="00724FFD" w:rsidRPr="009C450D" w:rsidRDefault="00724FFD">
      <w:pPr>
        <w:pStyle w:val="BodyText"/>
        <w:rPr>
          <w:sz w:val="20"/>
          <w:szCs w:val="20"/>
          <w:lang w:val="es-AR"/>
        </w:rPr>
      </w:pPr>
    </w:p>
    <w:p w14:paraId="5EC2C5C3" w14:textId="77777777" w:rsidR="00724FFD" w:rsidRPr="009C450D" w:rsidRDefault="00724FFD">
      <w:pPr>
        <w:pStyle w:val="BodyText"/>
        <w:rPr>
          <w:rFonts w:ascii="Times New Roman"/>
          <w:sz w:val="20"/>
          <w:lang w:val="es-AR"/>
        </w:rPr>
      </w:pPr>
    </w:p>
    <w:p w14:paraId="7129C4DF" w14:textId="77777777" w:rsidR="00724FFD" w:rsidRPr="009C450D" w:rsidRDefault="00724FFD">
      <w:pPr>
        <w:pStyle w:val="BodyText"/>
        <w:spacing w:before="2"/>
        <w:rPr>
          <w:rFonts w:ascii="Times New Roman"/>
          <w:sz w:val="24"/>
          <w:lang w:val="es-AR"/>
        </w:rPr>
      </w:pPr>
    </w:p>
    <w:p w14:paraId="6A728297" w14:textId="77777777" w:rsidR="00724FFD" w:rsidRPr="009C450D" w:rsidRDefault="00C557B2">
      <w:pPr>
        <w:pStyle w:val="Heading1"/>
        <w:spacing w:before="91" w:line="321" w:lineRule="exact"/>
        <w:rPr>
          <w:lang w:val="es-AR"/>
        </w:rPr>
      </w:pPr>
      <w:r>
        <w:rPr>
          <w:sz w:val="28"/>
          <w:lang w:val="pt"/>
        </w:rPr>
        <w:t>F</w:t>
      </w:r>
      <w:r>
        <w:rPr>
          <w:lang w:val="pt"/>
        </w:rPr>
        <w:t xml:space="preserve">UNDAMENTOS E </w:t>
      </w:r>
      <w:r>
        <w:rPr>
          <w:sz w:val="28"/>
          <w:lang w:val="pt"/>
        </w:rPr>
        <w:t>C</w:t>
      </w:r>
      <w:r>
        <w:rPr>
          <w:lang w:val="pt"/>
        </w:rPr>
        <w:t xml:space="preserve">OMPROMISSOS </w:t>
      </w:r>
      <w:r>
        <w:rPr>
          <w:sz w:val="28"/>
          <w:lang w:val="pt"/>
        </w:rPr>
        <w:t>B</w:t>
      </w:r>
      <w:r>
        <w:rPr>
          <w:lang w:val="pt"/>
        </w:rPr>
        <w:t>ÁSICOS</w:t>
      </w:r>
    </w:p>
    <w:p w14:paraId="4608C421" w14:textId="77777777" w:rsidR="00724FFD" w:rsidRPr="009C450D" w:rsidRDefault="00C557B2">
      <w:pPr>
        <w:spacing w:line="275" w:lineRule="exact"/>
        <w:ind w:left="120"/>
        <w:rPr>
          <w:b/>
          <w:sz w:val="19"/>
          <w:lang w:val="es-AR"/>
        </w:rPr>
      </w:pPr>
      <w:r>
        <w:rPr>
          <w:b/>
          <w:sz w:val="24"/>
          <w:lang w:val="pt"/>
        </w:rPr>
        <w:t>M</w:t>
      </w:r>
      <w:r>
        <w:rPr>
          <w:b/>
          <w:sz w:val="19"/>
          <w:lang w:val="pt"/>
        </w:rPr>
        <w:t xml:space="preserve">ETAS E </w:t>
      </w:r>
      <w:r>
        <w:rPr>
          <w:b/>
          <w:sz w:val="24"/>
          <w:lang w:val="pt"/>
        </w:rPr>
        <w:t>O</w:t>
      </w:r>
      <w:r>
        <w:rPr>
          <w:b/>
          <w:sz w:val="19"/>
          <w:lang w:val="pt"/>
        </w:rPr>
        <w:t xml:space="preserve">BJECTIVOS DO </w:t>
      </w:r>
      <w:r>
        <w:rPr>
          <w:b/>
          <w:sz w:val="24"/>
          <w:lang w:val="pt"/>
        </w:rPr>
        <w:t>D</w:t>
      </w:r>
      <w:r>
        <w:rPr>
          <w:b/>
          <w:sz w:val="19"/>
          <w:lang w:val="pt"/>
        </w:rPr>
        <w:t xml:space="preserve">ISTRITO </w:t>
      </w:r>
      <w:r>
        <w:rPr>
          <w:b/>
          <w:sz w:val="24"/>
          <w:lang w:val="pt"/>
        </w:rPr>
        <w:t>E</w:t>
      </w:r>
      <w:r>
        <w:rPr>
          <w:b/>
          <w:sz w:val="19"/>
          <w:lang w:val="pt"/>
        </w:rPr>
        <w:t>SCOLAR</w:t>
      </w:r>
    </w:p>
    <w:p w14:paraId="595907B2" w14:textId="77777777" w:rsidR="00724FFD" w:rsidRPr="009C450D" w:rsidRDefault="00724FFD">
      <w:pPr>
        <w:pStyle w:val="BodyText"/>
        <w:spacing w:before="3"/>
        <w:rPr>
          <w:b/>
          <w:sz w:val="19"/>
          <w:lang w:val="es-AR"/>
        </w:rPr>
      </w:pPr>
    </w:p>
    <w:p w14:paraId="47890C1C" w14:textId="77777777" w:rsidR="00724FFD" w:rsidRPr="009C450D" w:rsidRDefault="00724FFD">
      <w:pPr>
        <w:rPr>
          <w:sz w:val="19"/>
          <w:lang w:val="es-AR"/>
        </w:rPr>
        <w:sectPr w:rsidR="00724FFD" w:rsidRPr="009C450D">
          <w:type w:val="continuous"/>
          <w:pgSz w:w="12240" w:h="15840"/>
          <w:pgMar w:top="640" w:right="1280" w:bottom="280" w:left="1320" w:header="720" w:footer="720" w:gutter="0"/>
          <w:cols w:space="720"/>
        </w:sectPr>
      </w:pPr>
    </w:p>
    <w:p w14:paraId="6FA25CD8" w14:textId="77777777" w:rsidR="00724FFD" w:rsidRPr="009C450D" w:rsidRDefault="00C557B2">
      <w:pPr>
        <w:pStyle w:val="Heading1"/>
        <w:spacing w:before="92"/>
        <w:ind w:right="38"/>
        <w:rPr>
          <w:lang w:val="es-AR"/>
        </w:rPr>
      </w:pPr>
      <w:r>
        <w:rPr>
          <w:lang w:val="pt"/>
        </w:rPr>
        <w:lastRenderedPageBreak/>
        <w:t>Gestão Distrital Baseada no Desempenho</w:t>
      </w:r>
    </w:p>
    <w:p w14:paraId="42D0C008" w14:textId="77777777" w:rsidR="00724FFD" w:rsidRPr="009C450D" w:rsidRDefault="00C557B2">
      <w:pPr>
        <w:spacing w:before="60"/>
        <w:ind w:left="120"/>
        <w:rPr>
          <w:b/>
          <w:lang w:val="es-AR"/>
        </w:rPr>
      </w:pPr>
      <w:r>
        <w:rPr>
          <w:b/>
          <w:lang w:val="pt"/>
        </w:rPr>
        <w:t>Plano</w:t>
      </w:r>
    </w:p>
    <w:p w14:paraId="5D63CC98" w14:textId="0A830E72" w:rsidR="00724FFD" w:rsidRPr="009C450D" w:rsidRDefault="00C557B2">
      <w:pPr>
        <w:pStyle w:val="BodyText"/>
        <w:spacing w:before="151"/>
        <w:ind w:left="120" w:right="479"/>
        <w:rPr>
          <w:lang w:val="es-AR"/>
        </w:rPr>
      </w:pPr>
      <w:r>
        <w:rPr>
          <w:lang w:val="pt"/>
        </w:rPr>
        <w:br w:type="column"/>
      </w:r>
      <w:r>
        <w:rPr>
          <w:lang w:val="pt"/>
        </w:rPr>
        <w:lastRenderedPageBreak/>
        <w:t>Ao adoptar o plano de Gestão Distrital Baseada no Desempenho que liga os objectivos distritais aos padrões de desempenho e indicadores de qualidade, o Conselho Escolar de Providence pretende</w:t>
      </w:r>
      <w:r w:rsidR="009C450D">
        <w:rPr>
          <w:lang w:val="pt"/>
        </w:rPr>
        <w:t xml:space="preserve"> </w:t>
      </w:r>
      <w:r>
        <w:rPr>
          <w:lang w:val="pt"/>
        </w:rPr>
        <w:t>estabelecer um quadro significativo e mensurável para alcançar a visão do distrito, completando a missão, e cumprindo os objectivos.</w:t>
      </w:r>
    </w:p>
    <w:p w14:paraId="58ACCD51" w14:textId="77777777" w:rsidR="00724FFD" w:rsidRPr="009C450D" w:rsidRDefault="00724FFD">
      <w:pPr>
        <w:rPr>
          <w:lang w:val="es-AR"/>
        </w:rPr>
        <w:sectPr w:rsidR="00724FFD" w:rsidRPr="009C450D">
          <w:type w:val="continuous"/>
          <w:pgSz w:w="12240" w:h="15840"/>
          <w:pgMar w:top="640" w:right="1280" w:bottom="280" w:left="1320" w:header="720" w:footer="720" w:gutter="0"/>
          <w:cols w:num="2" w:space="720" w:equalWidth="0">
            <w:col w:w="1579" w:space="594"/>
            <w:col w:w="7467"/>
          </w:cols>
        </w:sectPr>
      </w:pPr>
    </w:p>
    <w:p w14:paraId="784D7E0E" w14:textId="77777777" w:rsidR="00724FFD" w:rsidRPr="009C450D" w:rsidRDefault="00724FFD">
      <w:pPr>
        <w:pStyle w:val="BodyText"/>
        <w:rPr>
          <w:sz w:val="20"/>
          <w:lang w:val="es-AR"/>
        </w:rPr>
      </w:pPr>
    </w:p>
    <w:p w14:paraId="4FE9D2ED" w14:textId="77777777" w:rsidR="00724FFD" w:rsidRPr="009C450D" w:rsidRDefault="00724FFD">
      <w:pPr>
        <w:pStyle w:val="BodyText"/>
        <w:spacing w:before="10"/>
        <w:rPr>
          <w:lang w:val="es-AR"/>
        </w:rPr>
      </w:pPr>
    </w:p>
    <w:p w14:paraId="584DA10B" w14:textId="77777777" w:rsidR="00724FFD" w:rsidRPr="009C450D" w:rsidRDefault="00C557B2">
      <w:pPr>
        <w:pStyle w:val="Heading1"/>
        <w:tabs>
          <w:tab w:val="left" w:pos="2293"/>
          <w:tab w:val="left" w:pos="2909"/>
        </w:tabs>
        <w:spacing w:line="252" w:lineRule="exact"/>
        <w:rPr>
          <w:lang w:val="es-AR"/>
        </w:rPr>
      </w:pPr>
      <w:r>
        <w:rPr>
          <w:lang w:val="pt"/>
        </w:rPr>
        <w:t>Objectivos</w:t>
      </w:r>
      <w:r>
        <w:rPr>
          <w:lang w:val="pt"/>
        </w:rPr>
        <w:tab/>
        <w:t>1.</w:t>
      </w:r>
      <w:r>
        <w:rPr>
          <w:lang w:val="pt"/>
        </w:rPr>
        <w:tab/>
        <w:t>Aproveitamento dos Alunos</w:t>
      </w:r>
    </w:p>
    <w:p w14:paraId="3527FFC2" w14:textId="77777777" w:rsidR="00724FFD" w:rsidRPr="009C450D" w:rsidRDefault="00C557B2">
      <w:pPr>
        <w:pStyle w:val="BodyText"/>
        <w:ind w:left="2908" w:right="1073"/>
        <w:rPr>
          <w:lang w:val="es-AR"/>
        </w:rPr>
      </w:pPr>
      <w:r>
        <w:rPr>
          <w:lang w:val="pt"/>
        </w:rPr>
        <w:t>Aumento de aproveitamento dos alunos através de um foco consistente e abrangente no processo de ensino e aprendizagem.</w:t>
      </w:r>
    </w:p>
    <w:p w14:paraId="5A8B8A5E" w14:textId="77777777" w:rsidR="00724FFD" w:rsidRPr="009C450D" w:rsidRDefault="00C557B2">
      <w:pPr>
        <w:pStyle w:val="ListParagraph"/>
        <w:numPr>
          <w:ilvl w:val="0"/>
          <w:numId w:val="2"/>
        </w:numPr>
        <w:tabs>
          <w:tab w:val="left" w:pos="2908"/>
          <w:tab w:val="left" w:pos="2909"/>
        </w:tabs>
        <w:ind w:right="210"/>
        <w:rPr>
          <w:lang w:val="es-AR"/>
        </w:rPr>
      </w:pPr>
      <w:r>
        <w:rPr>
          <w:b/>
          <w:lang w:val="pt"/>
        </w:rPr>
        <w:t>Capacitação de Desenvolvimento através de uma Infra-estrutura de Apoio e</w:t>
      </w:r>
      <w:r>
        <w:rPr>
          <w:lang w:val="pt"/>
        </w:rPr>
        <w:t xml:space="preserve"> Criação de capacidade dentro do sistema para apoiar e alimentar um ambiente de aprendizagem contínua centrado no aproveitamento dos alunos.</w:t>
      </w:r>
    </w:p>
    <w:p w14:paraId="364830A2" w14:textId="77777777" w:rsidR="00724FFD" w:rsidRPr="009C450D" w:rsidRDefault="00C557B2">
      <w:pPr>
        <w:pStyle w:val="Heading1"/>
        <w:numPr>
          <w:ilvl w:val="0"/>
          <w:numId w:val="2"/>
        </w:numPr>
        <w:tabs>
          <w:tab w:val="left" w:pos="2908"/>
          <w:tab w:val="left" w:pos="2909"/>
        </w:tabs>
        <w:spacing w:before="121"/>
        <w:rPr>
          <w:lang w:val="es-AR"/>
        </w:rPr>
      </w:pPr>
      <w:r>
        <w:rPr>
          <w:lang w:val="pt"/>
        </w:rPr>
        <w:t>Reforço do Envolvimento dos Pais, Encarregados e da Comunidade</w:t>
      </w:r>
    </w:p>
    <w:p w14:paraId="0A7E93B1" w14:textId="77777777" w:rsidR="00724FFD" w:rsidRPr="009C450D" w:rsidRDefault="00724FFD">
      <w:pPr>
        <w:pStyle w:val="BodyText"/>
        <w:rPr>
          <w:b/>
          <w:sz w:val="24"/>
          <w:lang w:val="es-AR"/>
        </w:rPr>
      </w:pPr>
    </w:p>
    <w:p w14:paraId="34F4A2CD" w14:textId="77777777" w:rsidR="00724FFD" w:rsidRPr="009C450D" w:rsidRDefault="00724FFD">
      <w:pPr>
        <w:pStyle w:val="BodyText"/>
        <w:spacing w:before="10"/>
        <w:rPr>
          <w:b/>
          <w:sz w:val="18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2"/>
      </w:tblGrid>
      <w:tr w:rsidR="00C557B2" w:rsidRPr="009C450D" w14:paraId="19EE57EA" w14:textId="6C795D02" w:rsidTr="00C557B2">
        <w:tc>
          <w:tcPr>
            <w:tcW w:w="1838" w:type="dxa"/>
          </w:tcPr>
          <w:p w14:paraId="28BDF1B4" w14:textId="77777777" w:rsidR="00C557B2" w:rsidRPr="009C450D" w:rsidRDefault="00C557B2" w:rsidP="002370BD">
            <w:pPr>
              <w:pStyle w:val="BodyText"/>
              <w:tabs>
                <w:tab w:val="left" w:pos="2293"/>
                <w:tab w:val="left" w:pos="2908"/>
              </w:tabs>
              <w:spacing w:line="252" w:lineRule="exact"/>
              <w:rPr>
                <w:lang w:val="es-AR"/>
              </w:rPr>
            </w:pPr>
            <w:r w:rsidRPr="00C557B2">
              <w:rPr>
                <w:b/>
                <w:lang w:val="pt"/>
              </w:rPr>
              <w:t>Padrões</w:t>
            </w:r>
          </w:p>
        </w:tc>
        <w:tc>
          <w:tcPr>
            <w:tcW w:w="7792" w:type="dxa"/>
          </w:tcPr>
          <w:p w14:paraId="79775106" w14:textId="4AB430AC" w:rsidR="00C557B2" w:rsidRPr="00C557B2" w:rsidRDefault="00C557B2" w:rsidP="00C557B2">
            <w:pPr>
              <w:pStyle w:val="BodyText"/>
              <w:numPr>
                <w:ilvl w:val="0"/>
                <w:numId w:val="4"/>
              </w:numPr>
              <w:tabs>
                <w:tab w:val="left" w:pos="2293"/>
              </w:tabs>
              <w:spacing w:line="252" w:lineRule="exact"/>
              <w:rPr>
                <w:lang w:val="es-AR"/>
              </w:rPr>
            </w:pPr>
            <w:r>
              <w:rPr>
                <w:lang w:val="pt"/>
              </w:rPr>
              <w:t>Há ganhos significativos no aproveitamento dos alunos para todas as populações de alunos como resultado de um amplo sistema de ensino e aprendizagem de alta qualidade.</w:t>
            </w:r>
          </w:p>
          <w:p w14:paraId="7DBC0A2D" w14:textId="77777777" w:rsidR="00C557B2" w:rsidRPr="00C557B2" w:rsidRDefault="00C557B2" w:rsidP="00C557B2">
            <w:pPr>
              <w:pStyle w:val="BodyText"/>
              <w:tabs>
                <w:tab w:val="left" w:pos="2293"/>
              </w:tabs>
              <w:spacing w:line="252" w:lineRule="exact"/>
              <w:ind w:left="720"/>
              <w:rPr>
                <w:lang w:val="es-AR"/>
              </w:rPr>
            </w:pPr>
          </w:p>
          <w:p w14:paraId="0F30419C" w14:textId="4E324469" w:rsidR="00C557B2" w:rsidRPr="00C557B2" w:rsidRDefault="00C557B2" w:rsidP="00C557B2">
            <w:pPr>
              <w:pStyle w:val="BodyText"/>
              <w:numPr>
                <w:ilvl w:val="0"/>
                <w:numId w:val="4"/>
              </w:numPr>
              <w:tabs>
                <w:tab w:val="left" w:pos="2293"/>
              </w:tabs>
              <w:spacing w:line="252" w:lineRule="exact"/>
              <w:rPr>
                <w:lang w:val="es-AR"/>
              </w:rPr>
            </w:pPr>
            <w:r w:rsidRPr="00C557B2">
              <w:rPr>
                <w:lang w:val="pt"/>
              </w:rPr>
              <w:t>O sistema apoia eficaz e eficientemente o processo de ensino e a aprendizagem de alta qualidade para melhorar o aproveitamento dos alunos.</w:t>
            </w:r>
          </w:p>
          <w:p w14:paraId="4951A41C" w14:textId="7B4A2BF2" w:rsidR="00C557B2" w:rsidRPr="00C557B2" w:rsidRDefault="00C557B2" w:rsidP="00C557B2">
            <w:pPr>
              <w:pStyle w:val="ListParagraph"/>
              <w:numPr>
                <w:ilvl w:val="0"/>
                <w:numId w:val="4"/>
              </w:numPr>
              <w:tabs>
                <w:tab w:val="left" w:pos="2908"/>
                <w:tab w:val="left" w:pos="2909"/>
              </w:tabs>
              <w:ind w:right="116"/>
              <w:rPr>
                <w:lang w:val="es-AR"/>
              </w:rPr>
            </w:pPr>
            <w:r w:rsidRPr="00C557B2">
              <w:rPr>
                <w:lang w:val="pt"/>
              </w:rPr>
              <w:t>O sistema é elaborado para facilitar e apoiar uma organização de aprendizagem de alto desempenho.</w:t>
            </w:r>
          </w:p>
          <w:p w14:paraId="32BE4901" w14:textId="77777777" w:rsidR="00C557B2" w:rsidRPr="00C557B2" w:rsidRDefault="00C557B2" w:rsidP="00C557B2">
            <w:pPr>
              <w:pStyle w:val="ListParagraph"/>
              <w:numPr>
                <w:ilvl w:val="0"/>
                <w:numId w:val="4"/>
              </w:numPr>
              <w:tabs>
                <w:tab w:val="left" w:pos="2908"/>
                <w:tab w:val="left" w:pos="2909"/>
              </w:tabs>
              <w:rPr>
                <w:lang w:val="es-AR"/>
              </w:rPr>
            </w:pPr>
            <w:r>
              <w:rPr>
                <w:lang w:val="pt"/>
              </w:rPr>
              <w:t>O sistema é orientado pelos dados e responsável.</w:t>
            </w:r>
          </w:p>
          <w:p w14:paraId="2C3FB8BC" w14:textId="7FEFEF5A" w:rsidR="00C557B2" w:rsidRPr="00C557B2" w:rsidRDefault="00C557B2" w:rsidP="00C557B2">
            <w:pPr>
              <w:pStyle w:val="ListParagraph"/>
              <w:numPr>
                <w:ilvl w:val="0"/>
                <w:numId w:val="4"/>
              </w:numPr>
              <w:tabs>
                <w:tab w:val="left" w:pos="2908"/>
                <w:tab w:val="left" w:pos="2909"/>
              </w:tabs>
              <w:rPr>
                <w:lang w:val="es-AR"/>
              </w:rPr>
            </w:pPr>
            <w:r w:rsidRPr="00C557B2">
              <w:rPr>
                <w:lang w:val="pt"/>
              </w:rPr>
              <w:t>Há uma distribuição adequada e equitativa de recursos para apoiar o trabalho necessário de modo a aprimorar o aproveitamento dos alunos.</w:t>
            </w:r>
          </w:p>
          <w:p w14:paraId="4A458C81" w14:textId="77777777" w:rsidR="00C557B2" w:rsidRPr="00C557B2" w:rsidRDefault="00C557B2" w:rsidP="00C557B2">
            <w:pPr>
              <w:pStyle w:val="ListParagraph"/>
              <w:numPr>
                <w:ilvl w:val="0"/>
                <w:numId w:val="4"/>
              </w:numPr>
              <w:tabs>
                <w:tab w:val="left" w:pos="2908"/>
                <w:tab w:val="left" w:pos="2909"/>
              </w:tabs>
              <w:spacing w:before="121"/>
              <w:ind w:right="614"/>
              <w:rPr>
                <w:lang w:val="es-AR"/>
              </w:rPr>
            </w:pPr>
            <w:r>
              <w:rPr>
                <w:lang w:val="pt"/>
              </w:rPr>
              <w:t>Os pais, os encarregados e os membros da comunidade estão significativamente empenhados em apoiar o processo de ensino e a aprendizagem de qualidade e em aprimorar o aproveitamento dos alunos para todos os alunos de Providence.</w:t>
            </w:r>
          </w:p>
          <w:p w14:paraId="20B9D685" w14:textId="7053648E" w:rsidR="00C557B2" w:rsidRPr="00C557B2" w:rsidRDefault="00C557B2" w:rsidP="00C557B2">
            <w:pPr>
              <w:pStyle w:val="ListParagraph"/>
              <w:numPr>
                <w:ilvl w:val="0"/>
                <w:numId w:val="4"/>
              </w:numPr>
              <w:tabs>
                <w:tab w:val="left" w:pos="2908"/>
                <w:tab w:val="left" w:pos="2909"/>
              </w:tabs>
              <w:spacing w:before="121"/>
              <w:ind w:right="614"/>
              <w:rPr>
                <w:lang w:val="es-AR"/>
              </w:rPr>
            </w:pPr>
            <w:r w:rsidRPr="00C557B2">
              <w:rPr>
                <w:lang w:val="pt"/>
              </w:rPr>
              <w:t>A comunicação é clara, consistente e abrangente.</w:t>
            </w:r>
          </w:p>
          <w:p w14:paraId="06F20CDE" w14:textId="77777777" w:rsidR="00C557B2" w:rsidRPr="00C557B2" w:rsidRDefault="00C557B2" w:rsidP="002370BD">
            <w:pPr>
              <w:pStyle w:val="BodyText"/>
              <w:tabs>
                <w:tab w:val="left" w:pos="2293"/>
                <w:tab w:val="left" w:pos="2908"/>
              </w:tabs>
              <w:spacing w:line="252" w:lineRule="exact"/>
              <w:rPr>
                <w:b/>
                <w:lang w:val="es-AR"/>
              </w:rPr>
            </w:pPr>
          </w:p>
        </w:tc>
      </w:tr>
    </w:tbl>
    <w:p w14:paraId="14AF3B7B" w14:textId="31DF5C6E" w:rsidR="00724FFD" w:rsidRPr="00C557B2" w:rsidRDefault="00C557B2" w:rsidP="00C557B2">
      <w:pPr>
        <w:pStyle w:val="BodyText"/>
        <w:tabs>
          <w:tab w:val="left" w:pos="2293"/>
          <w:tab w:val="left" w:pos="2908"/>
        </w:tabs>
        <w:spacing w:line="252" w:lineRule="exact"/>
        <w:rPr>
          <w:lang w:val="es-AR"/>
        </w:rPr>
      </w:pPr>
      <w:r>
        <w:rPr>
          <w:b/>
          <w:lang w:val="pt"/>
        </w:rPr>
        <w:tab/>
      </w:r>
    </w:p>
    <w:p w14:paraId="218994FC" w14:textId="77777777" w:rsidR="00724FFD" w:rsidRPr="009C450D" w:rsidRDefault="00724FFD">
      <w:pPr>
        <w:pStyle w:val="BodyText"/>
        <w:rPr>
          <w:sz w:val="19"/>
          <w:lang w:val="es-AR"/>
        </w:rPr>
      </w:pPr>
    </w:p>
    <w:p w14:paraId="36253CF9" w14:textId="77777777" w:rsidR="00724FFD" w:rsidRPr="009C450D" w:rsidRDefault="00C557B2">
      <w:pPr>
        <w:pStyle w:val="Heading1"/>
        <w:ind w:left="119"/>
        <w:rPr>
          <w:lang w:val="es-AR"/>
        </w:rPr>
      </w:pPr>
      <w:r>
        <w:rPr>
          <w:lang w:val="pt"/>
        </w:rPr>
        <w:t>Referência Legal</w:t>
      </w:r>
    </w:p>
    <w:p w14:paraId="4DA0E37D" w14:textId="77777777" w:rsidR="00724FFD" w:rsidRPr="009C450D" w:rsidRDefault="00C557B2">
      <w:pPr>
        <w:pStyle w:val="BodyText"/>
        <w:tabs>
          <w:tab w:val="left" w:pos="2276"/>
          <w:tab w:val="left" w:pos="6734"/>
        </w:tabs>
        <w:spacing w:before="120"/>
        <w:ind w:left="119"/>
        <w:rPr>
          <w:lang w:val="es-AR"/>
        </w:rPr>
      </w:pPr>
      <w:r>
        <w:rPr>
          <w:b/>
          <w:lang w:val="pt"/>
        </w:rPr>
        <w:t>História</w:t>
      </w:r>
      <w:r>
        <w:rPr>
          <w:b/>
          <w:lang w:val="pt"/>
        </w:rPr>
        <w:tab/>
      </w:r>
      <w:r>
        <w:rPr>
          <w:lang w:val="pt"/>
        </w:rPr>
        <w:t>Política Aprovada em: 21 de Outubro de 2003</w:t>
      </w:r>
      <w:r>
        <w:rPr>
          <w:lang w:val="pt"/>
        </w:rPr>
        <w:tab/>
        <w:t>Resolução 21-10-03</w:t>
      </w:r>
    </w:p>
    <w:p w14:paraId="6F8EC830" w14:textId="5D73A9F6" w:rsidR="00724FFD" w:rsidRDefault="00724FFD">
      <w:pPr>
        <w:pStyle w:val="BodyText"/>
        <w:rPr>
          <w:sz w:val="20"/>
          <w:lang w:val="es-AR"/>
        </w:rPr>
      </w:pPr>
    </w:p>
    <w:p w14:paraId="2335CC34" w14:textId="77777777" w:rsidR="009C450D" w:rsidRDefault="009C450D">
      <w:pPr>
        <w:pStyle w:val="BodyText"/>
        <w:rPr>
          <w:sz w:val="16"/>
          <w:szCs w:val="16"/>
          <w:lang w:val="es-AR"/>
        </w:rPr>
      </w:pPr>
    </w:p>
    <w:p w14:paraId="394C3143" w14:textId="76AE9923" w:rsidR="009C450D" w:rsidRPr="009C450D" w:rsidRDefault="009C450D">
      <w:pPr>
        <w:pStyle w:val="BodyText"/>
        <w:rPr>
          <w:sz w:val="16"/>
          <w:szCs w:val="16"/>
          <w:lang w:val="es-AR"/>
        </w:rPr>
      </w:pPr>
      <w:proofErr w:type="spellStart"/>
      <w:r w:rsidRPr="009C450D">
        <w:rPr>
          <w:sz w:val="16"/>
          <w:szCs w:val="16"/>
          <w:lang w:val="es-AR"/>
        </w:rPr>
        <w:t>Escolas</w:t>
      </w:r>
      <w:proofErr w:type="spellEnd"/>
      <w:r w:rsidRPr="009C450D">
        <w:rPr>
          <w:sz w:val="16"/>
          <w:szCs w:val="16"/>
          <w:lang w:val="es-AR"/>
        </w:rPr>
        <w:t xml:space="preserve"> Públicas de Providence</w:t>
      </w:r>
    </w:p>
    <w:p w14:paraId="1F3A2F78" w14:textId="409A334B" w:rsidR="00724FFD" w:rsidRPr="009C450D" w:rsidRDefault="009C450D" w:rsidP="009C450D">
      <w:pPr>
        <w:pStyle w:val="BodyText"/>
        <w:rPr>
          <w:sz w:val="16"/>
          <w:szCs w:val="16"/>
          <w:lang w:val="es-AR"/>
        </w:rPr>
      </w:pPr>
      <w:r w:rsidRPr="009C450D">
        <w:rPr>
          <w:sz w:val="16"/>
          <w:szCs w:val="16"/>
          <w:lang w:val="es-AR"/>
        </w:rPr>
        <w:t>Providence, Rhode Island</w:t>
      </w:r>
    </w:p>
    <w:sectPr w:rsidR="00724FFD" w:rsidRPr="009C450D">
      <w:type w:val="continuous"/>
      <w:pgSz w:w="12240" w:h="15840"/>
      <w:pgMar w:top="64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20F"/>
    <w:multiLevelType w:val="hybridMultilevel"/>
    <w:tmpl w:val="450AEB70"/>
    <w:lvl w:ilvl="0" w:tplc="56C679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5B8B"/>
    <w:multiLevelType w:val="hybridMultilevel"/>
    <w:tmpl w:val="69B6EB2E"/>
    <w:lvl w:ilvl="0" w:tplc="2684DF32">
      <w:start w:val="2"/>
      <w:numFmt w:val="decimal"/>
      <w:lvlText w:val="%1."/>
      <w:lvlJc w:val="left"/>
      <w:pPr>
        <w:ind w:left="2908" w:hanging="61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3AECD2EA">
      <w:numFmt w:val="bullet"/>
      <w:lvlText w:val="•"/>
      <w:lvlJc w:val="left"/>
      <w:pPr>
        <w:ind w:left="3574" w:hanging="616"/>
      </w:pPr>
      <w:rPr>
        <w:rFonts w:hint="default"/>
      </w:rPr>
    </w:lvl>
    <w:lvl w:ilvl="2" w:tplc="D44E52A2">
      <w:numFmt w:val="bullet"/>
      <w:lvlText w:val="•"/>
      <w:lvlJc w:val="left"/>
      <w:pPr>
        <w:ind w:left="4248" w:hanging="616"/>
      </w:pPr>
      <w:rPr>
        <w:rFonts w:hint="default"/>
      </w:rPr>
    </w:lvl>
    <w:lvl w:ilvl="3" w:tplc="88C80C52">
      <w:numFmt w:val="bullet"/>
      <w:lvlText w:val="•"/>
      <w:lvlJc w:val="left"/>
      <w:pPr>
        <w:ind w:left="4922" w:hanging="616"/>
      </w:pPr>
      <w:rPr>
        <w:rFonts w:hint="default"/>
      </w:rPr>
    </w:lvl>
    <w:lvl w:ilvl="4" w:tplc="F740D2C0">
      <w:numFmt w:val="bullet"/>
      <w:lvlText w:val="•"/>
      <w:lvlJc w:val="left"/>
      <w:pPr>
        <w:ind w:left="5596" w:hanging="616"/>
      </w:pPr>
      <w:rPr>
        <w:rFonts w:hint="default"/>
      </w:rPr>
    </w:lvl>
    <w:lvl w:ilvl="5" w:tplc="8940DABA">
      <w:numFmt w:val="bullet"/>
      <w:lvlText w:val="•"/>
      <w:lvlJc w:val="left"/>
      <w:pPr>
        <w:ind w:left="6270" w:hanging="616"/>
      </w:pPr>
      <w:rPr>
        <w:rFonts w:hint="default"/>
      </w:rPr>
    </w:lvl>
    <w:lvl w:ilvl="6" w:tplc="D38662A4">
      <w:numFmt w:val="bullet"/>
      <w:lvlText w:val="•"/>
      <w:lvlJc w:val="left"/>
      <w:pPr>
        <w:ind w:left="6944" w:hanging="616"/>
      </w:pPr>
      <w:rPr>
        <w:rFonts w:hint="default"/>
      </w:rPr>
    </w:lvl>
    <w:lvl w:ilvl="7" w:tplc="9FAE4884">
      <w:numFmt w:val="bullet"/>
      <w:lvlText w:val="•"/>
      <w:lvlJc w:val="left"/>
      <w:pPr>
        <w:ind w:left="7618" w:hanging="616"/>
      </w:pPr>
      <w:rPr>
        <w:rFonts w:hint="default"/>
      </w:rPr>
    </w:lvl>
    <w:lvl w:ilvl="8" w:tplc="4B9AE8CE">
      <w:numFmt w:val="bullet"/>
      <w:lvlText w:val="•"/>
      <w:lvlJc w:val="left"/>
      <w:pPr>
        <w:ind w:left="8292" w:hanging="616"/>
      </w:pPr>
      <w:rPr>
        <w:rFonts w:hint="default"/>
      </w:rPr>
    </w:lvl>
  </w:abstractNum>
  <w:abstractNum w:abstractNumId="2" w15:restartNumberingAfterBreak="0">
    <w:nsid w:val="61F36E2F"/>
    <w:multiLevelType w:val="hybridMultilevel"/>
    <w:tmpl w:val="C52CB10A"/>
    <w:lvl w:ilvl="0" w:tplc="E14E007A">
      <w:start w:val="2"/>
      <w:numFmt w:val="decimal"/>
      <w:lvlText w:val="%1."/>
      <w:lvlJc w:val="left"/>
      <w:pPr>
        <w:ind w:left="2908" w:hanging="6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0FA2990">
      <w:numFmt w:val="bullet"/>
      <w:lvlText w:val="•"/>
      <w:lvlJc w:val="left"/>
      <w:pPr>
        <w:ind w:left="3574" w:hanging="616"/>
      </w:pPr>
      <w:rPr>
        <w:rFonts w:hint="default"/>
      </w:rPr>
    </w:lvl>
    <w:lvl w:ilvl="2" w:tplc="BEE00E34">
      <w:numFmt w:val="bullet"/>
      <w:lvlText w:val="•"/>
      <w:lvlJc w:val="left"/>
      <w:pPr>
        <w:ind w:left="4248" w:hanging="616"/>
      </w:pPr>
      <w:rPr>
        <w:rFonts w:hint="default"/>
      </w:rPr>
    </w:lvl>
    <w:lvl w:ilvl="3" w:tplc="5CF495EA">
      <w:numFmt w:val="bullet"/>
      <w:lvlText w:val="•"/>
      <w:lvlJc w:val="left"/>
      <w:pPr>
        <w:ind w:left="4922" w:hanging="616"/>
      </w:pPr>
      <w:rPr>
        <w:rFonts w:hint="default"/>
      </w:rPr>
    </w:lvl>
    <w:lvl w:ilvl="4" w:tplc="CF325176">
      <w:numFmt w:val="bullet"/>
      <w:lvlText w:val="•"/>
      <w:lvlJc w:val="left"/>
      <w:pPr>
        <w:ind w:left="5596" w:hanging="616"/>
      </w:pPr>
      <w:rPr>
        <w:rFonts w:hint="default"/>
      </w:rPr>
    </w:lvl>
    <w:lvl w:ilvl="5" w:tplc="88E0598A">
      <w:numFmt w:val="bullet"/>
      <w:lvlText w:val="•"/>
      <w:lvlJc w:val="left"/>
      <w:pPr>
        <w:ind w:left="6270" w:hanging="616"/>
      </w:pPr>
      <w:rPr>
        <w:rFonts w:hint="default"/>
      </w:rPr>
    </w:lvl>
    <w:lvl w:ilvl="6" w:tplc="8F44BD0C">
      <w:numFmt w:val="bullet"/>
      <w:lvlText w:val="•"/>
      <w:lvlJc w:val="left"/>
      <w:pPr>
        <w:ind w:left="6944" w:hanging="616"/>
      </w:pPr>
      <w:rPr>
        <w:rFonts w:hint="default"/>
      </w:rPr>
    </w:lvl>
    <w:lvl w:ilvl="7" w:tplc="090C5F8E">
      <w:numFmt w:val="bullet"/>
      <w:lvlText w:val="•"/>
      <w:lvlJc w:val="left"/>
      <w:pPr>
        <w:ind w:left="7618" w:hanging="616"/>
      </w:pPr>
      <w:rPr>
        <w:rFonts w:hint="default"/>
      </w:rPr>
    </w:lvl>
    <w:lvl w:ilvl="8" w:tplc="307A106C">
      <w:numFmt w:val="bullet"/>
      <w:lvlText w:val="•"/>
      <w:lvlJc w:val="left"/>
      <w:pPr>
        <w:ind w:left="8292" w:hanging="616"/>
      </w:pPr>
      <w:rPr>
        <w:rFonts w:hint="default"/>
      </w:rPr>
    </w:lvl>
  </w:abstractNum>
  <w:abstractNum w:abstractNumId="3" w15:restartNumberingAfterBreak="0">
    <w:nsid w:val="7C731CD3"/>
    <w:multiLevelType w:val="hybridMultilevel"/>
    <w:tmpl w:val="7270B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D"/>
    <w:rsid w:val="00724FFD"/>
    <w:rsid w:val="007B61AB"/>
    <w:rsid w:val="009C450D"/>
    <w:rsid w:val="00C557B2"/>
    <w:rsid w:val="00C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E88B"/>
  <w15:docId w15:val="{2EDAE56A-9706-476F-A672-A2DADD81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2908" w:hanging="61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5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ADA_PPSD Goals &amp; Objectives_x.doc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ADA_PPSD Goals &amp; Objectives_x.doc</dc:title>
  <dc:creator>mcotter</dc:creator>
  <cp:lastModifiedBy>Kushner, Alan</cp:lastModifiedBy>
  <cp:revision>2</cp:revision>
  <dcterms:created xsi:type="dcterms:W3CDTF">2022-01-28T14:41:00Z</dcterms:created>
  <dcterms:modified xsi:type="dcterms:W3CDTF">2022-01-28T14:41:00Z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2021-12-07T00:00:00Z</vt:filetime>
  </property>
</Properties>
</file>